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8C9" w:rsidRPr="00C91561" w:rsidRDefault="00E868C9" w:rsidP="00E868C9">
      <w:pPr>
        <w:pStyle w:val="Heading2"/>
        <w:rPr>
          <w:rFonts w:asciiTheme="minorHAnsi" w:hAnsiTheme="minorHAnsi" w:cstheme="minorHAnsi"/>
          <w:sz w:val="28"/>
          <w:szCs w:val="28"/>
        </w:rPr>
      </w:pPr>
      <w:r w:rsidRPr="00C91561"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8EF0C" wp14:editId="314775D4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1599565" cy="1054735"/>
                <wp:effectExtent l="9525" t="9525" r="1016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98D" w:rsidRDefault="008F398D" w:rsidP="00E868C9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519BFD6" wp14:editId="57E15878">
                                  <wp:extent cx="1409700" cy="952500"/>
                                  <wp:effectExtent l="0" t="0" r="0" b="0"/>
                                  <wp:docPr id="3" name="Picture 3" descr="PikeCT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keCT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8EF0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7pt;margin-top:-9pt;width:125.95pt;height: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" strokecolor="white">
                <v:textbox>
                  <w:txbxContent>
                    <w:p w:rsidR="008F398D" w:rsidRDefault="008F398D" w:rsidP="00E868C9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5519BFD6" wp14:editId="57E15878">
                            <wp:extent cx="1409700" cy="952500"/>
                            <wp:effectExtent l="0" t="0" r="0" b="0"/>
                            <wp:docPr id="3" name="Picture 3" descr="PikeCT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ikeCT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95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C91561">
        <w:rPr>
          <w:rFonts w:asciiTheme="minorHAnsi" w:hAnsiTheme="minorHAnsi" w:cstheme="minorHAnsi"/>
          <w:sz w:val="28"/>
          <w:szCs w:val="28"/>
        </w:rPr>
        <w:t>Pike County Career Technology Center</w:t>
      </w:r>
    </w:p>
    <w:p w:rsidR="00E868C9" w:rsidRPr="00C91561" w:rsidRDefault="00E868C9" w:rsidP="00E868C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91561">
        <w:rPr>
          <w:rFonts w:asciiTheme="minorHAnsi" w:hAnsiTheme="minorHAnsi" w:cstheme="minorHAnsi"/>
          <w:b/>
          <w:bCs/>
          <w:sz w:val="28"/>
          <w:szCs w:val="28"/>
        </w:rPr>
        <w:t>Adult Education</w:t>
      </w:r>
    </w:p>
    <w:p w:rsidR="00E868C9" w:rsidRDefault="00E868C9" w:rsidP="00E868C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E868C9" w:rsidRDefault="00E868C9" w:rsidP="00E868C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4443CB" w:rsidRDefault="004443CB" w:rsidP="00E868C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4443CB" w:rsidRPr="00C91561" w:rsidRDefault="004443CB" w:rsidP="00E868C9">
      <w:pPr>
        <w:rPr>
          <w:rFonts w:asciiTheme="minorHAnsi" w:hAnsiTheme="minorHAnsi" w:cstheme="minorHAnsi"/>
          <w:b/>
          <w:bCs/>
          <w:sz w:val="28"/>
          <w:szCs w:val="28"/>
        </w:rPr>
      </w:pPr>
    </w:p>
    <w:p w:rsidR="00E868C9" w:rsidRDefault="00E868C9" w:rsidP="00E868C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C91561">
        <w:rPr>
          <w:rFonts w:asciiTheme="minorHAnsi" w:hAnsiTheme="minorHAnsi" w:cstheme="minorHAnsi"/>
          <w:b/>
          <w:bCs/>
          <w:sz w:val="28"/>
          <w:szCs w:val="28"/>
        </w:rPr>
        <w:t>Plan:</w:t>
      </w:r>
      <w:r w:rsidRPr="00C91561"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>Student Personnel Services</w:t>
      </w:r>
    </w:p>
    <w:p w:rsidR="008354ED" w:rsidRDefault="008354ED"/>
    <w:p w:rsidR="00A04E5B" w:rsidRPr="0058654C" w:rsidRDefault="00A04E5B" w:rsidP="00A04E5B">
      <w:pPr>
        <w:pStyle w:val="NoSpacing"/>
        <w:ind w:left="1440" w:hanging="1440"/>
        <w:rPr>
          <w:rFonts w:asciiTheme="minorHAnsi" w:hAnsiTheme="minorHAnsi"/>
          <w:sz w:val="24"/>
          <w:szCs w:val="24"/>
        </w:rPr>
      </w:pPr>
      <w:r w:rsidRPr="0058654C">
        <w:rPr>
          <w:rFonts w:asciiTheme="minorHAnsi" w:hAnsiTheme="minorHAnsi"/>
          <w:sz w:val="24"/>
          <w:szCs w:val="24"/>
        </w:rPr>
        <w:t>Objective:</w:t>
      </w:r>
      <w:r w:rsidRPr="0058654C">
        <w:rPr>
          <w:rFonts w:asciiTheme="minorHAnsi" w:hAnsiTheme="minorHAnsi"/>
          <w:sz w:val="24"/>
          <w:szCs w:val="24"/>
        </w:rPr>
        <w:tab/>
        <w:t>To</w:t>
      </w:r>
      <w:r>
        <w:rPr>
          <w:rFonts w:asciiTheme="minorHAnsi" w:hAnsiTheme="minorHAnsi"/>
          <w:sz w:val="24"/>
          <w:szCs w:val="24"/>
        </w:rPr>
        <w:t xml:space="preserve"> determine the effectiveness of </w:t>
      </w:r>
      <w:r w:rsidRPr="0058654C">
        <w:rPr>
          <w:rFonts w:asciiTheme="minorHAnsi" w:hAnsiTheme="minorHAnsi"/>
          <w:sz w:val="24"/>
          <w:szCs w:val="24"/>
        </w:rPr>
        <w:t>the</w:t>
      </w:r>
      <w:r>
        <w:rPr>
          <w:rFonts w:asciiTheme="minorHAnsi" w:hAnsiTheme="minorHAnsi"/>
          <w:sz w:val="24"/>
          <w:szCs w:val="24"/>
        </w:rPr>
        <w:t xml:space="preserve"> student services. To identify student services that need improvement and to develop a plan of improvement. </w:t>
      </w:r>
    </w:p>
    <w:p w:rsidR="00A04E5B" w:rsidRPr="0058654C" w:rsidRDefault="00A04E5B" w:rsidP="00A04E5B">
      <w:pPr>
        <w:rPr>
          <w:rFonts w:asciiTheme="minorHAnsi" w:hAnsiTheme="minorHAnsi" w:cstheme="minorHAnsi"/>
        </w:rPr>
      </w:pPr>
      <w:r w:rsidRPr="0058654C">
        <w:rPr>
          <w:rFonts w:asciiTheme="minorHAnsi" w:hAnsiTheme="minorHAnsi" w:cstheme="minorHAnsi"/>
        </w:rPr>
        <w:tab/>
      </w:r>
    </w:p>
    <w:p w:rsidR="00A04E5B" w:rsidRPr="0058654C" w:rsidRDefault="00A04E5B" w:rsidP="00A04E5B">
      <w:pPr>
        <w:ind w:left="1440" w:hanging="1440"/>
        <w:rPr>
          <w:rFonts w:asciiTheme="minorHAnsi" w:hAnsiTheme="minorHAnsi" w:cstheme="minorHAnsi"/>
        </w:rPr>
      </w:pPr>
      <w:r w:rsidRPr="0058654C">
        <w:rPr>
          <w:rFonts w:asciiTheme="minorHAnsi" w:hAnsiTheme="minorHAnsi" w:cstheme="minorHAnsi"/>
        </w:rPr>
        <w:t xml:space="preserve">Evaluated: </w:t>
      </w:r>
      <w:r w:rsidRPr="0058654C">
        <w:rPr>
          <w:rFonts w:asciiTheme="minorHAnsi" w:hAnsiTheme="minorHAnsi" w:cstheme="minorHAnsi"/>
        </w:rPr>
        <w:tab/>
        <w:t xml:space="preserve">Evaluated </w:t>
      </w:r>
      <w:r>
        <w:rPr>
          <w:rFonts w:asciiTheme="minorHAnsi" w:hAnsiTheme="minorHAnsi" w:cstheme="minorHAnsi"/>
        </w:rPr>
        <w:t xml:space="preserve">by the compiled data from student evaluation surveys. </w:t>
      </w:r>
    </w:p>
    <w:p w:rsidR="00A04E5B" w:rsidRPr="0058654C" w:rsidRDefault="00A04E5B" w:rsidP="00A04E5B">
      <w:pPr>
        <w:rPr>
          <w:rFonts w:asciiTheme="minorHAnsi" w:hAnsiTheme="minorHAnsi" w:cstheme="minorHAnsi"/>
        </w:rPr>
      </w:pPr>
    </w:p>
    <w:p w:rsidR="00A04E5B" w:rsidRPr="0058654C" w:rsidRDefault="00A04E5B" w:rsidP="00A04E5B">
      <w:pPr>
        <w:rPr>
          <w:rFonts w:asciiTheme="minorHAnsi" w:hAnsiTheme="minorHAnsi" w:cstheme="minorHAnsi"/>
        </w:rPr>
      </w:pPr>
      <w:r w:rsidRPr="0058654C">
        <w:rPr>
          <w:rFonts w:asciiTheme="minorHAnsi" w:hAnsiTheme="minorHAnsi" w:cstheme="minorHAnsi"/>
        </w:rPr>
        <w:t>Timeline:</w:t>
      </w:r>
      <w:r w:rsidRPr="0058654C">
        <w:rPr>
          <w:rFonts w:asciiTheme="minorHAnsi" w:hAnsiTheme="minorHAnsi" w:cstheme="minorHAnsi"/>
        </w:rPr>
        <w:tab/>
        <w:t>Annually</w:t>
      </w:r>
      <w:r>
        <w:rPr>
          <w:rFonts w:asciiTheme="minorHAnsi" w:hAnsiTheme="minorHAnsi" w:cstheme="minorHAnsi"/>
        </w:rPr>
        <w:t xml:space="preserve"> </w:t>
      </w:r>
    </w:p>
    <w:p w:rsidR="00A04E5B" w:rsidRDefault="00A04E5B" w:rsidP="00A04E5B">
      <w:pPr>
        <w:rPr>
          <w:rFonts w:asciiTheme="minorHAnsi" w:hAnsiTheme="minorHAnsi"/>
        </w:rPr>
      </w:pPr>
    </w:p>
    <w:p w:rsidR="004443CB" w:rsidRDefault="004443CB" w:rsidP="00A04E5B">
      <w:pPr>
        <w:rPr>
          <w:rFonts w:asciiTheme="minorHAnsi" w:hAnsiTheme="minorHAnsi"/>
        </w:rPr>
      </w:pPr>
    </w:p>
    <w:p w:rsidR="00A04E5B" w:rsidRPr="00A04E5B" w:rsidRDefault="00A04E5B">
      <w:pPr>
        <w:rPr>
          <w:rFonts w:asciiTheme="minorHAnsi" w:hAnsiTheme="minorHAnsi"/>
          <w:b/>
        </w:rPr>
      </w:pPr>
      <w:r w:rsidRPr="00A04E5B">
        <w:rPr>
          <w:rFonts w:asciiTheme="minorHAnsi" w:hAnsiTheme="minorHAnsi"/>
          <w:b/>
        </w:rPr>
        <w:t>Responsible for coordination of student services:</w:t>
      </w:r>
    </w:p>
    <w:p w:rsidR="00A04E5B" w:rsidRDefault="00A04E5B">
      <w:pPr>
        <w:rPr>
          <w:rFonts w:asciiTheme="minorHAnsi" w:hAnsiTheme="minorHAnsi"/>
        </w:rPr>
      </w:pPr>
      <w:r>
        <w:rPr>
          <w:rFonts w:asciiTheme="minorHAnsi" w:hAnsiTheme="minorHAnsi"/>
        </w:rPr>
        <w:t>Overall responsibility for coordination</w:t>
      </w:r>
      <w:r>
        <w:rPr>
          <w:rFonts w:asciiTheme="minorHAnsi" w:hAnsiTheme="minorHAnsi"/>
        </w:rPr>
        <w:tab/>
        <w:t>Adult Education Director</w:t>
      </w:r>
    </w:p>
    <w:p w:rsidR="00A04E5B" w:rsidRDefault="00A04E5B">
      <w:pPr>
        <w:rPr>
          <w:rFonts w:asciiTheme="minorHAnsi" w:hAnsiTheme="minorHAnsi"/>
        </w:rPr>
      </w:pPr>
      <w:r>
        <w:rPr>
          <w:rFonts w:asciiTheme="minorHAnsi" w:hAnsiTheme="minorHAnsi"/>
        </w:rPr>
        <w:t>Academic advisement and counseling</w:t>
      </w:r>
      <w:r>
        <w:rPr>
          <w:rFonts w:asciiTheme="minorHAnsi" w:hAnsiTheme="minorHAnsi"/>
        </w:rPr>
        <w:tab/>
        <w:t>Aspire Instructors / Adult Education Director</w:t>
      </w:r>
    </w:p>
    <w:p w:rsidR="00A04E5B" w:rsidRDefault="00A04E5B">
      <w:pPr>
        <w:rPr>
          <w:rFonts w:asciiTheme="minorHAnsi" w:hAnsiTheme="minorHAnsi"/>
        </w:rPr>
      </w:pPr>
      <w:r>
        <w:rPr>
          <w:rFonts w:asciiTheme="minorHAnsi" w:hAnsiTheme="minorHAnsi"/>
        </w:rPr>
        <w:t>Financial Aid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Adult Education Office Staff</w:t>
      </w:r>
    </w:p>
    <w:p w:rsidR="00A04E5B" w:rsidRDefault="00A04E5B">
      <w:pPr>
        <w:rPr>
          <w:rFonts w:asciiTheme="minorHAnsi" w:hAnsiTheme="minorHAnsi"/>
        </w:rPr>
      </w:pPr>
      <w:r>
        <w:rPr>
          <w:rFonts w:asciiTheme="minorHAnsi" w:hAnsiTheme="minorHAnsi"/>
        </w:rPr>
        <w:t>Orientation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Adult Education Director / Instructors</w:t>
      </w:r>
    </w:p>
    <w:p w:rsidR="00A04E5B" w:rsidRDefault="00A04E5B">
      <w:pPr>
        <w:rPr>
          <w:rFonts w:asciiTheme="minorHAnsi" w:hAnsiTheme="minorHAnsi"/>
        </w:rPr>
      </w:pPr>
      <w:r>
        <w:rPr>
          <w:rFonts w:asciiTheme="minorHAnsi" w:hAnsiTheme="minorHAnsi"/>
        </w:rPr>
        <w:t>Retention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>Adult Education Director</w:t>
      </w:r>
    </w:p>
    <w:p w:rsidR="00A04E5B" w:rsidRDefault="00A04E5B">
      <w:pPr>
        <w:rPr>
          <w:rFonts w:asciiTheme="minorHAnsi" w:hAnsiTheme="minorHAnsi"/>
        </w:rPr>
      </w:pPr>
      <w:r>
        <w:rPr>
          <w:rFonts w:asciiTheme="minorHAnsi" w:hAnsiTheme="minorHAnsi"/>
        </w:rPr>
        <w:t>Grievances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>Adult Education Director</w:t>
      </w:r>
      <w:r w:rsidR="004443CB">
        <w:rPr>
          <w:rFonts w:asciiTheme="minorHAnsi" w:hAnsiTheme="minorHAnsi"/>
        </w:rPr>
        <w:t xml:space="preserve"> / </w:t>
      </w:r>
      <w:r>
        <w:rPr>
          <w:rFonts w:asciiTheme="minorHAnsi" w:hAnsiTheme="minorHAnsi"/>
        </w:rPr>
        <w:t xml:space="preserve">Superintendent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A04E5B" w:rsidRDefault="00A04E5B">
      <w:pPr>
        <w:rPr>
          <w:rFonts w:asciiTheme="minorHAnsi" w:hAnsiTheme="minorHAnsi"/>
        </w:rPr>
      </w:pPr>
      <w:r>
        <w:rPr>
          <w:rFonts w:asciiTheme="minorHAnsi" w:hAnsiTheme="minorHAnsi"/>
        </w:rPr>
        <w:t>Health and Safety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>Adult Education Director</w:t>
      </w:r>
    </w:p>
    <w:p w:rsidR="00A04E5B" w:rsidRPr="00A04E5B" w:rsidRDefault="00A04E5B">
      <w:pPr>
        <w:rPr>
          <w:rFonts w:asciiTheme="minorHAnsi" w:hAnsiTheme="minorHAnsi"/>
        </w:rPr>
      </w:pPr>
      <w:r>
        <w:rPr>
          <w:rFonts w:asciiTheme="minorHAnsi" w:hAnsiTheme="minorHAnsi"/>
        </w:rPr>
        <w:t>Records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>Adult Education Office Staff</w:t>
      </w:r>
      <w:r>
        <w:rPr>
          <w:rFonts w:asciiTheme="minorHAnsi" w:hAnsiTheme="minorHAnsi"/>
        </w:rPr>
        <w:tab/>
      </w:r>
    </w:p>
    <w:p w:rsidR="00A04E5B" w:rsidRPr="00A04E5B" w:rsidRDefault="00A04E5B">
      <w:pPr>
        <w:rPr>
          <w:rFonts w:asciiTheme="minorHAnsi" w:hAnsiTheme="minorHAnsi" w:cstheme="minorHAnsi"/>
          <w:b/>
          <w:sz w:val="22"/>
          <w:szCs w:val="22"/>
        </w:rPr>
      </w:pPr>
    </w:p>
    <w:p w:rsidR="00454180" w:rsidRPr="00A04E5B" w:rsidRDefault="00454180">
      <w:pPr>
        <w:rPr>
          <w:rFonts w:asciiTheme="minorHAnsi" w:hAnsiTheme="minorHAnsi" w:cstheme="minorHAnsi"/>
          <w:b/>
          <w:sz w:val="22"/>
          <w:szCs w:val="22"/>
        </w:rPr>
      </w:pPr>
    </w:p>
    <w:p w:rsidR="00367C5C" w:rsidRPr="00A04E5B" w:rsidRDefault="00367C5C">
      <w:pPr>
        <w:rPr>
          <w:rFonts w:asciiTheme="minorHAnsi" w:hAnsiTheme="minorHAnsi" w:cstheme="minorHAnsi"/>
          <w:b/>
          <w:sz w:val="22"/>
          <w:szCs w:val="22"/>
        </w:rPr>
      </w:pPr>
      <w:r w:rsidRPr="00A04E5B">
        <w:rPr>
          <w:rFonts w:asciiTheme="minorHAnsi" w:hAnsiTheme="minorHAnsi" w:cstheme="minorHAnsi"/>
          <w:b/>
          <w:sz w:val="22"/>
          <w:szCs w:val="22"/>
        </w:rPr>
        <w:t>Effectiveness</w:t>
      </w:r>
      <w:r w:rsidR="00A04E5B">
        <w:rPr>
          <w:rFonts w:asciiTheme="minorHAnsi" w:hAnsiTheme="minorHAnsi" w:cstheme="minorHAnsi"/>
          <w:b/>
          <w:sz w:val="22"/>
          <w:szCs w:val="22"/>
        </w:rPr>
        <w:t>:</w:t>
      </w:r>
    </w:p>
    <w:p w:rsidR="007124CB" w:rsidRDefault="007124CB">
      <w:pPr>
        <w:rPr>
          <w:rFonts w:asciiTheme="minorHAnsi" w:hAnsiTheme="minorHAnsi" w:cstheme="minorHAnsi"/>
          <w:sz w:val="22"/>
          <w:szCs w:val="22"/>
        </w:rPr>
      </w:pPr>
      <w:r w:rsidRPr="00A04E5B">
        <w:rPr>
          <w:rFonts w:asciiTheme="minorHAnsi" w:hAnsiTheme="minorHAnsi" w:cstheme="minorHAnsi"/>
          <w:sz w:val="22"/>
          <w:szCs w:val="22"/>
        </w:rPr>
        <w:t>Student evaluation forms will be completed by students who attend the Pike CTC. These evaluation tools will provide the student the opportunity to provide a qualitative and quantitative assessment concerning all aspects of their student experience</w:t>
      </w:r>
      <w:r>
        <w:rPr>
          <w:rFonts w:asciiTheme="minorHAnsi" w:hAnsiTheme="minorHAnsi" w:cstheme="minorHAnsi"/>
          <w:sz w:val="22"/>
          <w:szCs w:val="22"/>
        </w:rPr>
        <w:t xml:space="preserve">, including student services received. </w:t>
      </w:r>
    </w:p>
    <w:p w:rsidR="00367C5C" w:rsidRDefault="007124C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Effectiveness of the student s</w:t>
      </w:r>
      <w:r w:rsidR="00367C5C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pport s</w:t>
      </w:r>
      <w:r w:rsidR="00367C5C">
        <w:rPr>
          <w:rFonts w:asciiTheme="minorHAnsi" w:hAnsiTheme="minorHAnsi" w:cstheme="minorHAnsi"/>
          <w:sz w:val="22"/>
          <w:szCs w:val="22"/>
        </w:rPr>
        <w:t xml:space="preserve">ervices will be determined through the collection and analysis of </w:t>
      </w:r>
      <w:r>
        <w:rPr>
          <w:rFonts w:asciiTheme="minorHAnsi" w:hAnsiTheme="minorHAnsi" w:cstheme="minorHAnsi"/>
          <w:sz w:val="22"/>
          <w:szCs w:val="22"/>
        </w:rPr>
        <w:t xml:space="preserve">these </w:t>
      </w:r>
      <w:r w:rsidR="00367C5C">
        <w:rPr>
          <w:rFonts w:asciiTheme="minorHAnsi" w:hAnsiTheme="minorHAnsi" w:cstheme="minorHAnsi"/>
          <w:sz w:val="22"/>
          <w:szCs w:val="22"/>
        </w:rPr>
        <w:t xml:space="preserve">student </w:t>
      </w:r>
      <w:r>
        <w:rPr>
          <w:rFonts w:asciiTheme="minorHAnsi" w:hAnsiTheme="minorHAnsi" w:cstheme="minorHAnsi"/>
          <w:sz w:val="22"/>
          <w:szCs w:val="22"/>
        </w:rPr>
        <w:t>evaluations concerning the different aspects of student services received at the Pike CTC.</w:t>
      </w:r>
    </w:p>
    <w:p w:rsidR="00A04E5B" w:rsidRDefault="00A04E5B">
      <w:pPr>
        <w:rPr>
          <w:rFonts w:asciiTheme="minorHAnsi" w:hAnsiTheme="minorHAnsi" w:cstheme="minorHAnsi"/>
          <w:sz w:val="22"/>
          <w:szCs w:val="22"/>
        </w:rPr>
      </w:pPr>
    </w:p>
    <w:p w:rsidR="00A04E5B" w:rsidRPr="00A04E5B" w:rsidRDefault="00A04E5B">
      <w:pPr>
        <w:rPr>
          <w:rFonts w:asciiTheme="minorHAnsi" w:hAnsiTheme="minorHAnsi" w:cstheme="minorHAnsi"/>
          <w:b/>
          <w:sz w:val="22"/>
          <w:szCs w:val="22"/>
        </w:rPr>
      </w:pPr>
      <w:r w:rsidRPr="00A04E5B">
        <w:rPr>
          <w:rFonts w:asciiTheme="minorHAnsi" w:hAnsiTheme="minorHAnsi" w:cstheme="minorHAnsi"/>
          <w:b/>
          <w:sz w:val="22"/>
          <w:szCs w:val="22"/>
        </w:rPr>
        <w:t>Counseling:</w:t>
      </w:r>
    </w:p>
    <w:p w:rsidR="00A04E5B" w:rsidRDefault="004F66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Academic counseling is provided by Aspire Instructors. Aspire Instructors can provide remediation services for basic academic skills (reading &amp; math) and </w:t>
      </w:r>
      <w:r w:rsidR="004443CB">
        <w:rPr>
          <w:rFonts w:asciiTheme="minorHAnsi" w:hAnsiTheme="minorHAnsi" w:cstheme="minorHAnsi"/>
          <w:sz w:val="22"/>
          <w:szCs w:val="22"/>
        </w:rPr>
        <w:t xml:space="preserve">help </w:t>
      </w:r>
      <w:r>
        <w:rPr>
          <w:rFonts w:asciiTheme="minorHAnsi" w:hAnsiTheme="minorHAnsi" w:cstheme="minorHAnsi"/>
          <w:sz w:val="22"/>
          <w:szCs w:val="22"/>
        </w:rPr>
        <w:t xml:space="preserve">provide study strategies. </w:t>
      </w:r>
    </w:p>
    <w:p w:rsidR="004F66D0" w:rsidRDefault="004F66D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Students who need mental care services or mental health counseling are referred to</w:t>
      </w:r>
      <w:r w:rsidR="004443CB">
        <w:rPr>
          <w:rFonts w:asciiTheme="minorHAnsi" w:hAnsiTheme="minorHAnsi" w:cstheme="minorHAnsi"/>
          <w:sz w:val="22"/>
          <w:szCs w:val="22"/>
        </w:rPr>
        <w:t>:</w:t>
      </w:r>
    </w:p>
    <w:p w:rsidR="004F66D0" w:rsidRDefault="004F66D0" w:rsidP="004443CB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Scioto Paint Valley Mental Health</w:t>
      </w:r>
    </w:p>
    <w:p w:rsidR="004F66D0" w:rsidRDefault="004F66D0" w:rsidP="004443CB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102 Dawn Lane</w:t>
      </w:r>
    </w:p>
    <w:p w:rsidR="004F66D0" w:rsidRDefault="004F66D0" w:rsidP="004443CB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Waverly OH 45690</w:t>
      </w:r>
    </w:p>
    <w:p w:rsidR="004F66D0" w:rsidRDefault="004F66D0" w:rsidP="004443CB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740-947-7783</w:t>
      </w:r>
    </w:p>
    <w:p w:rsidR="004443CB" w:rsidRDefault="004443CB" w:rsidP="004443CB">
      <w:pPr>
        <w:ind w:firstLine="720"/>
        <w:rPr>
          <w:rFonts w:asciiTheme="minorHAnsi" w:hAnsiTheme="minorHAnsi" w:cstheme="minorHAnsi"/>
          <w:sz w:val="22"/>
          <w:szCs w:val="22"/>
        </w:rPr>
      </w:pPr>
      <w:hyperlink r:id="rId5" w:history="1">
        <w:r w:rsidRPr="0064298B">
          <w:rPr>
            <w:rStyle w:val="Hyperlink"/>
            <w:rFonts w:asciiTheme="minorHAnsi" w:hAnsiTheme="minorHAnsi" w:cstheme="minorHAnsi"/>
            <w:sz w:val="22"/>
            <w:szCs w:val="22"/>
          </w:rPr>
          <w:t>https://spvmhc.org/</w:t>
        </w:r>
      </w:hyperlink>
    </w:p>
    <w:p w:rsidR="00980C5E" w:rsidRDefault="00980C5E">
      <w:pPr>
        <w:rPr>
          <w:rFonts w:asciiTheme="minorHAnsi" w:hAnsiTheme="minorHAnsi" w:cstheme="minorHAnsi"/>
          <w:sz w:val="22"/>
          <w:szCs w:val="22"/>
        </w:rPr>
      </w:pPr>
    </w:p>
    <w:p w:rsidR="008F398D" w:rsidRPr="008F398D" w:rsidRDefault="008F398D">
      <w:pPr>
        <w:rPr>
          <w:rFonts w:asciiTheme="minorHAnsi" w:hAnsiTheme="minorHAnsi" w:cstheme="minorHAnsi"/>
          <w:b/>
          <w:sz w:val="22"/>
          <w:szCs w:val="22"/>
        </w:rPr>
      </w:pPr>
      <w:r w:rsidRPr="008F398D">
        <w:rPr>
          <w:rFonts w:asciiTheme="minorHAnsi" w:hAnsiTheme="minorHAnsi" w:cstheme="minorHAnsi"/>
          <w:b/>
          <w:sz w:val="22"/>
          <w:szCs w:val="22"/>
        </w:rPr>
        <w:lastRenderedPageBreak/>
        <w:t>Documenting annual evaluation</w:t>
      </w:r>
      <w:r w:rsidR="00A04E5B">
        <w:rPr>
          <w:rFonts w:asciiTheme="minorHAnsi" w:hAnsiTheme="minorHAnsi" w:cstheme="minorHAnsi"/>
          <w:b/>
          <w:sz w:val="22"/>
          <w:szCs w:val="22"/>
        </w:rPr>
        <w:t>:</w:t>
      </w:r>
      <w:r w:rsidRPr="008F398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E868C9" w:rsidRDefault="008F39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 the conclusion of each school year, student evaluation forms will be compiled into a survey system (surveymonkey.com) and a comprehensive report will be generated. The overall evaluation measures for student services, and other aspects of the student experience</w:t>
      </w:r>
      <w:r w:rsidR="00980C5E">
        <w:rPr>
          <w:rFonts w:asciiTheme="minorHAnsi" w:hAnsiTheme="minorHAnsi" w:cstheme="minorHAnsi"/>
          <w:sz w:val="22"/>
          <w:szCs w:val="22"/>
        </w:rPr>
        <w:t xml:space="preserve">, </w:t>
      </w:r>
      <w:r w:rsidR="00A04E5B">
        <w:rPr>
          <w:rFonts w:asciiTheme="minorHAnsi" w:hAnsiTheme="minorHAnsi" w:cstheme="minorHAnsi"/>
          <w:sz w:val="22"/>
          <w:szCs w:val="22"/>
        </w:rPr>
        <w:t>will be documented and kept on file</w:t>
      </w:r>
      <w:r w:rsidR="00980C5E">
        <w:rPr>
          <w:rFonts w:asciiTheme="minorHAnsi" w:hAnsiTheme="minorHAnsi" w:cstheme="minorHAnsi"/>
          <w:sz w:val="22"/>
          <w:szCs w:val="22"/>
        </w:rPr>
        <w:t>.</w:t>
      </w:r>
    </w:p>
    <w:p w:rsidR="00A04E5B" w:rsidRDefault="00A04E5B">
      <w:pPr>
        <w:rPr>
          <w:rFonts w:asciiTheme="minorHAnsi" w:hAnsiTheme="minorHAnsi" w:cstheme="minorHAnsi"/>
          <w:sz w:val="22"/>
          <w:szCs w:val="22"/>
        </w:rPr>
      </w:pPr>
    </w:p>
    <w:p w:rsidR="00A04E5B" w:rsidRDefault="00A04E5B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A04E5B" w:rsidRDefault="00980C5E">
      <w:pPr>
        <w:rPr>
          <w:rFonts w:asciiTheme="minorHAnsi" w:hAnsiTheme="minorHAnsi" w:cstheme="minorHAnsi"/>
          <w:b/>
          <w:sz w:val="22"/>
          <w:szCs w:val="22"/>
        </w:rPr>
      </w:pPr>
      <w:r w:rsidRPr="00980C5E">
        <w:rPr>
          <w:rFonts w:asciiTheme="minorHAnsi" w:hAnsiTheme="minorHAnsi" w:cstheme="minorHAnsi"/>
          <w:b/>
          <w:sz w:val="22"/>
          <w:szCs w:val="22"/>
        </w:rPr>
        <w:t xml:space="preserve">Disseminating results to staff so that pertinent information can be used to improve the student </w:t>
      </w:r>
      <w:r>
        <w:rPr>
          <w:rFonts w:asciiTheme="minorHAnsi" w:hAnsiTheme="minorHAnsi" w:cstheme="minorHAnsi"/>
          <w:b/>
          <w:sz w:val="22"/>
          <w:szCs w:val="22"/>
        </w:rPr>
        <w:t xml:space="preserve">personnel </w:t>
      </w:r>
      <w:r w:rsidRPr="00980C5E">
        <w:rPr>
          <w:rFonts w:asciiTheme="minorHAnsi" w:hAnsiTheme="minorHAnsi" w:cstheme="minorHAnsi"/>
          <w:b/>
          <w:sz w:val="22"/>
          <w:szCs w:val="22"/>
        </w:rPr>
        <w:t>services</w:t>
      </w:r>
      <w:r w:rsidR="00A04E5B">
        <w:rPr>
          <w:rFonts w:asciiTheme="minorHAnsi" w:hAnsiTheme="minorHAnsi" w:cstheme="minorHAnsi"/>
          <w:b/>
          <w:sz w:val="22"/>
          <w:szCs w:val="22"/>
        </w:rPr>
        <w:t>:</w:t>
      </w:r>
    </w:p>
    <w:p w:rsidR="000238E2" w:rsidRPr="00A04E5B" w:rsidRDefault="000238E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formal annual evaluation of student services is done as part of the Strategic Planning meeting</w:t>
      </w:r>
      <w:r w:rsidR="002D75AE">
        <w:rPr>
          <w:rFonts w:asciiTheme="minorHAnsi" w:hAnsiTheme="minorHAnsi" w:cstheme="minorHAnsi"/>
          <w:sz w:val="22"/>
          <w:szCs w:val="22"/>
        </w:rPr>
        <w:t xml:space="preserve"> process</w:t>
      </w:r>
      <w:r>
        <w:rPr>
          <w:rFonts w:asciiTheme="minorHAnsi" w:hAnsiTheme="minorHAnsi" w:cstheme="minorHAnsi"/>
          <w:sz w:val="22"/>
          <w:szCs w:val="22"/>
        </w:rPr>
        <w:t>. Results are analyzed and strategies are developed and initiated to improve the effectiveness</w:t>
      </w:r>
      <w:r w:rsidR="002D75AE">
        <w:rPr>
          <w:rFonts w:asciiTheme="minorHAnsi" w:hAnsiTheme="minorHAnsi" w:cstheme="minorHAnsi"/>
          <w:sz w:val="22"/>
          <w:szCs w:val="22"/>
        </w:rPr>
        <w:t xml:space="preserve"> of student services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0238E2" w:rsidRPr="00A04E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8C9"/>
    <w:rsid w:val="000238E2"/>
    <w:rsid w:val="002D75AE"/>
    <w:rsid w:val="00324405"/>
    <w:rsid w:val="00367C5C"/>
    <w:rsid w:val="003A7EB5"/>
    <w:rsid w:val="003F0487"/>
    <w:rsid w:val="004443CB"/>
    <w:rsid w:val="00454180"/>
    <w:rsid w:val="004F66D0"/>
    <w:rsid w:val="007124CB"/>
    <w:rsid w:val="008354ED"/>
    <w:rsid w:val="008F398D"/>
    <w:rsid w:val="00980C5E"/>
    <w:rsid w:val="00A04E5B"/>
    <w:rsid w:val="00E8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94D5C7-BBCA-4A97-8973-7C19FB36A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868C9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868C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6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68C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04E5B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4443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vmhc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Pike County CTC</Company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Pike CTC Student</dc:creator>
  <cp:lastModifiedBy>Lathe Moore</cp:lastModifiedBy>
  <cp:revision>9</cp:revision>
  <cp:lastPrinted>2014-07-01T18:35:00Z</cp:lastPrinted>
  <dcterms:created xsi:type="dcterms:W3CDTF">2014-07-01T17:58:00Z</dcterms:created>
  <dcterms:modified xsi:type="dcterms:W3CDTF">2021-03-01T16:10:00Z</dcterms:modified>
</cp:coreProperties>
</file>